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5F" w:rsidRPr="00DA2293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>Anexa №.1</w:t>
      </w:r>
    </w:p>
    <w:p w:rsidR="0017695F" w:rsidRPr="00DA2293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 xml:space="preserve">la </w:t>
      </w:r>
      <w:r w:rsidR="00E27E4F">
        <w:rPr>
          <w:rFonts w:ascii="Times New Roman" w:hAnsi="Times New Roman"/>
          <w:i/>
          <w:sz w:val="24"/>
          <w:szCs w:val="24"/>
          <w:lang w:val="ro-MD"/>
        </w:rPr>
        <w:t>Cererea de ofertă</w:t>
      </w:r>
      <w:r w:rsidRPr="00DA2293">
        <w:rPr>
          <w:rFonts w:ascii="Times New Roman" w:hAnsi="Times New Roman"/>
          <w:i/>
          <w:sz w:val="24"/>
          <w:szCs w:val="24"/>
          <w:lang w:val="ro-MD"/>
        </w:rPr>
        <w:t xml:space="preserve">  </w:t>
      </w:r>
    </w:p>
    <w:p w:rsidR="0017695F" w:rsidRPr="00DA2293" w:rsidRDefault="0017695F" w:rsidP="0017695F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E27E4F">
        <w:rPr>
          <w:rFonts w:ascii="Times New Roman" w:eastAsia="Times New Roman" w:hAnsi="Times New Roman"/>
          <w:i/>
          <w:sz w:val="24"/>
          <w:szCs w:val="24"/>
          <w:lang w:val="ro-MD"/>
        </w:rPr>
        <w:t>5</w:t>
      </w:r>
      <w:r w:rsidR="00C95116">
        <w:rPr>
          <w:rFonts w:ascii="Times New Roman" w:eastAsia="Times New Roman" w:hAnsi="Times New Roman"/>
          <w:i/>
          <w:sz w:val="24"/>
          <w:szCs w:val="24"/>
          <w:lang w:val="ro-MD"/>
        </w:rPr>
        <w:t>3</w:t>
      </w:r>
      <w:r w:rsidRPr="00DA2293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DA2293">
        <w:rPr>
          <w:rFonts w:ascii="Times New Roman" w:eastAsia="Times New Roman" w:hAnsi="Times New Roman"/>
          <w:i/>
          <w:color w:val="FF0000"/>
          <w:sz w:val="24"/>
          <w:szCs w:val="24"/>
          <w:lang w:val="ro-MD"/>
        </w:rPr>
        <w:t xml:space="preserve"> </w:t>
      </w:r>
      <w:r w:rsidR="00E27E4F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16</w:t>
      </w:r>
      <w:r w:rsidR="005477C7"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</w:t>
      </w:r>
      <w:r w:rsidR="00E27E4F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11</w:t>
      </w:r>
      <w:r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</w:t>
      </w:r>
      <w:r w:rsidR="00E27E4F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</w:t>
      </w:r>
    </w:p>
    <w:p w:rsidR="0017695F" w:rsidRPr="00DA2293" w:rsidRDefault="0017695F" w:rsidP="0017695F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E27E4F" w:rsidRDefault="00E27E4F" w:rsidP="00E27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4605">
        <w:rPr>
          <w:rFonts w:ascii="Times New Roman" w:eastAsia="Times New Roman" w:hAnsi="Times New Roman"/>
          <w:b/>
          <w:sz w:val="24"/>
          <w:szCs w:val="24"/>
          <w:lang w:val="ro-RO"/>
        </w:rPr>
        <w:t>Sursa de finan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ț</w:t>
      </w:r>
      <w:r w:rsidRPr="00D34605">
        <w:rPr>
          <w:rFonts w:ascii="Times New Roman" w:eastAsia="Times New Roman" w:hAnsi="Times New Roman"/>
          <w:b/>
          <w:sz w:val="24"/>
          <w:szCs w:val="24"/>
          <w:lang w:val="ro-RO"/>
        </w:rPr>
        <w:t>are:</w:t>
      </w:r>
      <w:r w:rsidRPr="00D3460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5116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B17782">
        <w:rPr>
          <w:rFonts w:ascii="Times New Roman" w:hAnsi="Times New Roman"/>
          <w:sz w:val="24"/>
          <w:szCs w:val="24"/>
          <w:lang w:val="ro-RO"/>
        </w:rPr>
        <w:t>cadrul grantului „Consolidarea controlului tuberculozei și reducerea mortalității SIDA în Republica Moldova, 2021–2023” (Grant MDA-C-PCIMU)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7822E7" w:rsidRPr="00E27E4F" w:rsidRDefault="007822E7" w:rsidP="007822E7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Cumpărător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: 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A.O. 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Inițiativa Pozitivă”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Furnizor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: ____________________________________________________________________</w:t>
      </w:r>
    </w:p>
    <w:p w:rsidR="0017695F" w:rsidRPr="00DA2293" w:rsidRDefault="0017695F" w:rsidP="0017695F">
      <w:pPr>
        <w:spacing w:after="0" w:line="240" w:lineRule="auto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  <w:t xml:space="preserve">                                          </w:t>
      </w:r>
      <w:r w:rsidRPr="00DA2293">
        <w:rPr>
          <w:rFonts w:ascii="Times New Roman" w:hAnsi="Times New Roman"/>
          <w:i/>
          <w:sz w:val="24"/>
          <w:szCs w:val="24"/>
          <w:lang w:val="ro-MD"/>
        </w:rPr>
        <w:t>(Denumirea companiei)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Termeni și condiții de livrare</w:t>
      </w:r>
    </w:p>
    <w:p w:rsidR="0017695F" w:rsidRPr="00DA2293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17695F" w:rsidRPr="00DA2293" w:rsidRDefault="0017695F" w:rsidP="0017695F">
      <w:pPr>
        <w:numPr>
          <w:ilvl w:val="0"/>
          <w:numId w:val="1"/>
        </w:numPr>
        <w:spacing w:after="0"/>
        <w:ind w:left="-426" w:firstLine="426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Prețul și termenul de livrare</w:t>
      </w:r>
    </w:p>
    <w:p w:rsidR="0017695F" w:rsidRPr="00DA2293" w:rsidRDefault="0017695F" w:rsidP="0017695F">
      <w:pPr>
        <w:spacing w:after="0"/>
        <w:ind w:left="-426" w:firstLine="426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bookmarkStart w:id="0" w:name="_GoBack"/>
      <w:bookmarkEnd w:id="0"/>
    </w:p>
    <w:p w:rsidR="0017695F" w:rsidRPr="00DA2293" w:rsidRDefault="0017695F" w:rsidP="0017695F">
      <w:pPr>
        <w:spacing w:after="0"/>
        <w:ind w:left="-426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 xml:space="preserve">       Lotul nr.1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586"/>
        <w:gridCol w:w="1730"/>
        <w:gridCol w:w="1814"/>
        <w:gridCol w:w="1560"/>
        <w:gridCol w:w="1560"/>
      </w:tblGrid>
      <w:tr w:rsidR="00E27E4F" w:rsidRPr="00E27E4F" w:rsidTr="00BE4B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4F" w:rsidRPr="006A390A" w:rsidRDefault="00E27E4F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4F" w:rsidRPr="006A390A" w:rsidRDefault="00E27E4F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F" w:rsidRPr="006A390A" w:rsidRDefault="00E27E4F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Cantitatea, buc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Preț un</w:t>
            </w:r>
          </w:p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MDL,</w:t>
            </w:r>
          </w:p>
          <w:p w:rsidR="00E27E4F" w:rsidRPr="00E27E4F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la cota TVA</w:t>
            </w: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</w:t>
            </w: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MDL,</w:t>
            </w:r>
          </w:p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la cota TVA</w:t>
            </w: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  <w:t>Termen de livrare</w:t>
            </w:r>
            <w:r w:rsidRPr="00DA229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  <w:t xml:space="preserve"> </w:t>
            </w:r>
          </w:p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MD"/>
              </w:rPr>
              <w:t>maxim 7 zile</w:t>
            </w:r>
          </w:p>
        </w:tc>
      </w:tr>
      <w:tr w:rsidR="004C269E" w:rsidRPr="00DA2293" w:rsidTr="00BE4B8C"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C95116" w:rsidRDefault="00C95116" w:rsidP="004C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C95116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Telefon/</w:t>
            </w:r>
            <w:proofErr w:type="spellStart"/>
            <w:r w:rsidRPr="00C95116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Smartphone</w:t>
            </w:r>
            <w:proofErr w:type="spellEnd"/>
            <w:r w:rsidRPr="00C95116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 cu cititor NFC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C95116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</w:tbl>
    <w:p w:rsidR="0017695F" w:rsidRPr="00DA2293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MD"/>
        </w:rPr>
      </w:pPr>
    </w:p>
    <w:p w:rsidR="0017695F" w:rsidRPr="00DA2293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MD"/>
        </w:rPr>
      </w:pPr>
      <w:r w:rsidRPr="00DA2293">
        <w:rPr>
          <w:b/>
          <w:bCs/>
          <w:i/>
          <w:szCs w:val="24"/>
          <w:lang w:val="ro-MD"/>
        </w:rPr>
        <w:t>Preţul total Lot nr.1 este de: ___________________                 semnătura____________________</w:t>
      </w:r>
    </w:p>
    <w:p w:rsidR="0017695F" w:rsidRPr="00DA2293" w:rsidRDefault="0017695F" w:rsidP="00DA2293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b/>
          <w:i/>
          <w:sz w:val="24"/>
          <w:szCs w:val="24"/>
          <w:lang w:val="ro-MD"/>
        </w:rPr>
        <w:tab/>
        <w:t>L.Ș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Notă: În cazul divergenţilor între preţul unitar şi prețul total, corecția se va face conform puctului (ii) din Cererea de oferte.</w:t>
      </w:r>
    </w:p>
    <w:p w:rsidR="0017695F" w:rsidRPr="00DA2293" w:rsidRDefault="0017695F" w:rsidP="0017695F">
      <w:pPr>
        <w:pStyle w:val="ChapterNumber"/>
        <w:spacing w:after="0"/>
        <w:jc w:val="both"/>
        <w:rPr>
          <w:bCs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2. </w:t>
      </w:r>
      <w:r w:rsidRPr="00DA2293">
        <w:rPr>
          <w:rFonts w:ascii="Times New Roman" w:hAnsi="Times New Roman"/>
          <w:sz w:val="24"/>
          <w:szCs w:val="24"/>
          <w:u w:val="single"/>
          <w:lang w:val="ro-MD"/>
        </w:rPr>
        <w:t>Preţul fix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>: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Toate preţurile indicate în ofertă sunt fixe şi rămân neschimbate pe toată perioada executării contractului, achiziția va fi efectuată 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la cota Zero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3. A.O. </w:t>
      </w:r>
      <w:r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își rezervă dreptul </w:t>
      </w:r>
      <w:r w:rsidRPr="00DA2293">
        <w:rPr>
          <w:rFonts w:ascii="Times New Roman" w:hAnsi="Times New Roman"/>
          <w:sz w:val="24"/>
          <w:szCs w:val="24"/>
          <w:lang w:val="ro-MD"/>
        </w:rPr>
        <w:t xml:space="preserve">de a mări sau micşora cu până la 15% cantitatea de bunuri </w:t>
      </w:r>
      <w:r w:rsidR="00DA2293" w:rsidRPr="00DA2293">
        <w:rPr>
          <w:rFonts w:ascii="Times New Roman" w:hAnsi="Times New Roman"/>
          <w:sz w:val="24"/>
          <w:szCs w:val="24"/>
          <w:lang w:val="ro-MD"/>
        </w:rPr>
        <w:t>şi servicii specificate iniţial,</w:t>
      </w:r>
      <w:r w:rsidRPr="00DA2293">
        <w:rPr>
          <w:rFonts w:ascii="Times New Roman" w:hAnsi="Times New Roman"/>
          <w:sz w:val="24"/>
          <w:szCs w:val="24"/>
          <w:lang w:val="ro-MD"/>
        </w:rPr>
        <w:t xml:space="preserve"> fără nici o modificare a preţurilor unitare în alţi termeni şi condiţii.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Default="00DA2293" w:rsidP="00E27E4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>
        <w:rPr>
          <w:rFonts w:ascii="Times New Roman" w:hAnsi="Times New Roman"/>
          <w:bCs/>
          <w:sz w:val="24"/>
          <w:szCs w:val="24"/>
          <w:lang w:val="ro-MD"/>
        </w:rPr>
        <w:t>4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bCs/>
          <w:sz w:val="24"/>
          <w:szCs w:val="24"/>
          <w:u w:val="single"/>
          <w:lang w:val="ro-MD"/>
        </w:rPr>
        <w:t>Termen de livrare: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 Termenul de livrare trebuie completat conform tabelului de mai sus.</w:t>
      </w:r>
    </w:p>
    <w:p w:rsidR="00E27E4F" w:rsidRPr="00DA2293" w:rsidRDefault="00E27E4F" w:rsidP="00E27E4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DA2293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5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 xml:space="preserve">Plata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va fi efectuată de către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în lei moldoveneşti, prin transfer  de 100% în termen de 3 zile lucrătoare după recepționarea </w:t>
      </w:r>
      <w:r w:rsidR="00E27E4F">
        <w:rPr>
          <w:rFonts w:ascii="Times New Roman" w:hAnsi="Times New Roman"/>
          <w:sz w:val="24"/>
          <w:szCs w:val="24"/>
          <w:lang w:val="ro-MD"/>
        </w:rPr>
        <w:t>documetelor confirmative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</w:p>
    <w:p w:rsidR="0017695F" w:rsidRPr="00DA2293" w:rsidRDefault="0017695F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DA2293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6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Recepția produselor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se va face la destinația finală indicată, prin semnarea actului de predare-primire de către reprezentantul autorizat al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Dacă produsul nu corespunde specificaţiilor, cumpărătorul are dreptul să îl respingă, iar furnizorul are obligaţia, fără a modifica preţul contractului:</w:t>
      </w:r>
    </w:p>
    <w:p w:rsidR="0017695F" w:rsidRPr="00DA2293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De a înlocui produsele furnizate, sau</w:t>
      </w:r>
    </w:p>
    <w:p w:rsidR="0017695F" w:rsidRPr="00DA2293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lastRenderedPageBreak/>
        <w:t>De a face toate modificările necesare pentru ca produsele să corespundă specificaţiilor tehnice.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Furnizorul va transmite către 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 </w:t>
      </w:r>
      <w:r w:rsidRPr="00DA2293">
        <w:rPr>
          <w:rFonts w:ascii="Times New Roman" w:hAnsi="Times New Roman"/>
          <w:sz w:val="24"/>
          <w:szCs w:val="24"/>
          <w:lang w:val="ro-MD"/>
        </w:rPr>
        <w:t>documentele care însoţesc produsele:</w:t>
      </w:r>
    </w:p>
    <w:p w:rsidR="0017695F" w:rsidRPr="00DA2293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Factura conform comenzii.  </w:t>
      </w:r>
    </w:p>
    <w:p w:rsidR="0017695F" w:rsidRPr="00DA2293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Act de predare-primire, etc.</w:t>
      </w:r>
    </w:p>
    <w:p w:rsidR="0017695F" w:rsidRPr="00DA2293" w:rsidRDefault="0017695F" w:rsidP="0017695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7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Ambalare</w:t>
      </w:r>
      <w:r w:rsidR="0017695F"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 furnizorul va asigura ambalarea standard a mărfurilor în așa mod ca acestea să facă faţă la manipularea în timpul transportului, tranzitului şi expunerii la temperaturi extreme, la soare şi la </w:t>
      </w:r>
      <w:r w:rsidRPr="00DA2293">
        <w:rPr>
          <w:rFonts w:ascii="Times New Roman" w:hAnsi="Times New Roman"/>
          <w:sz w:val="24"/>
          <w:szCs w:val="24"/>
          <w:lang w:val="ro-MD"/>
        </w:rPr>
        <w:t>precipitațiile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care ar putea să apară în timpul transportului şi depozitării în aer liber, în aşa fel încât să ajungă în bună stare la </w:t>
      </w:r>
      <w:r w:rsidRPr="00DA2293">
        <w:rPr>
          <w:rFonts w:ascii="Times New Roman" w:hAnsi="Times New Roman"/>
          <w:sz w:val="24"/>
          <w:szCs w:val="24"/>
          <w:lang w:val="ro-MD"/>
        </w:rPr>
        <w:t>destinația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finală.</w:t>
      </w:r>
    </w:p>
    <w:p w:rsidR="0017695F" w:rsidRPr="00DA2293" w:rsidRDefault="0017695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8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Defecte</w:t>
      </w:r>
      <w:r w:rsidR="0017695F"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Toate defectele vor fi corectate de către furnizor, fără nici un cost  pentru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în termen de </w:t>
      </w:r>
      <w:r>
        <w:rPr>
          <w:rFonts w:ascii="Times New Roman" w:hAnsi="Times New Roman"/>
          <w:sz w:val="24"/>
          <w:szCs w:val="24"/>
          <w:lang w:val="ro-MD"/>
        </w:rPr>
        <w:t>14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zile de la data </w:t>
      </w:r>
      <w:r w:rsidRPr="00DA2293">
        <w:rPr>
          <w:rFonts w:ascii="Times New Roman" w:hAnsi="Times New Roman"/>
          <w:sz w:val="24"/>
          <w:szCs w:val="24"/>
          <w:lang w:val="ro-MD"/>
        </w:rPr>
        <w:t>anunțului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</w:p>
    <w:p w:rsidR="0017695F" w:rsidRPr="00DA2293" w:rsidRDefault="0017695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9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Neexecutare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:</w:t>
      </w:r>
      <w:r w:rsidR="0017695F" w:rsidRPr="00DA229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Beneficiarul  poate anula contractul dacă Furnizorul nu livrează produsul în conformitate cu termenii şi condiţiile de mai sus, după o notificare prealabilă de 2 zile primită de la Beneficiar, fără a avea vreo obligaţie faţă de Furnizor.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color w:val="1F4E79"/>
          <w:sz w:val="24"/>
          <w:szCs w:val="24"/>
          <w:lang w:val="ro-MD"/>
        </w:rPr>
      </w:pPr>
    </w:p>
    <w:p w:rsidR="0017695F" w:rsidRPr="00DA2293" w:rsidRDefault="00B140F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10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Întârzieri: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În cazul în care Furnizorul nu livrează oricare sau toate produsele către data livrării sau 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 pentru fiecare zi de întârziere până la livrarea/prestarea efectivă al acestora,</w:t>
      </w:r>
      <w:r w:rsidR="0017695F" w:rsidRPr="00DA2293">
        <w:rPr>
          <w:rFonts w:ascii="Times New Roman" w:hAnsi="Times New Roman"/>
          <w:color w:val="1F4E79"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nivelul maxim al deducerilor nedepășind  cumulativ 10% din suma totală a contractului.</w:t>
      </w:r>
    </w:p>
    <w:p w:rsidR="0017695F" w:rsidRPr="00DA2293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MD"/>
        </w:rPr>
      </w:pPr>
    </w:p>
    <w:p w:rsidR="0017695F" w:rsidRPr="00DA2293" w:rsidRDefault="001A454B" w:rsidP="0017695F">
      <w:pPr>
        <w:tabs>
          <w:tab w:val="right" w:leader="dot" w:pos="86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11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Garanție: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Bunurile oferite trebuie să fie acoperite de garanție (termenul de valabilitate) de producător, conform indicațiilor din </w:t>
      </w:r>
      <w:r w:rsidR="0017695F" w:rsidRPr="00DA2293">
        <w:rPr>
          <w:rFonts w:ascii="Times New Roman" w:hAnsi="Times New Roman"/>
          <w:i/>
          <w:sz w:val="24"/>
          <w:szCs w:val="24"/>
          <w:lang w:val="ro-MD"/>
        </w:rPr>
        <w:t>Anexa №.1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de la data documentului de acceptare finală. </w:t>
      </w:r>
      <w:r w:rsidR="0017695F" w:rsidRPr="00DA2293">
        <w:rPr>
          <w:rFonts w:ascii="Times New Roman" w:hAnsi="Times New Roman"/>
          <w:b/>
          <w:sz w:val="24"/>
          <w:szCs w:val="24"/>
          <w:lang w:val="ro-MD"/>
        </w:rPr>
        <w:t>Vă rugăm să specificați perioada de garanție și Specificațiile tehnice în detaliu în oferta dvs.</w:t>
      </w:r>
    </w:p>
    <w:p w:rsidR="0017695F" w:rsidRPr="00DA2293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II. Specificațiile tehnice obligatorii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(i) Descrieri generale</w:t>
      </w:r>
    </w:p>
    <w:p w:rsidR="0017695F" w:rsidRDefault="0017695F" w:rsidP="00DF78A1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Toate bunurile trebuie să fie noi, nefolosite, dintre cele mai recente și actuale modele, care încorporează toate îmbunătățirile recente, cu excepția cazului în care se prevede altfel în specificațiile tehnice.</w:t>
      </w:r>
    </w:p>
    <w:p w:rsidR="00DF78A1" w:rsidRPr="00DF78A1" w:rsidRDefault="00DF78A1" w:rsidP="00DF78A1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(ii) Specificațiile tehnice obligatorii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4C269E" w:rsidRPr="001A454B" w:rsidRDefault="0017695F" w:rsidP="001A454B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 xml:space="preserve">Lotul nr.1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91"/>
        <w:gridCol w:w="1389"/>
        <w:gridCol w:w="2343"/>
        <w:gridCol w:w="3135"/>
      </w:tblGrid>
      <w:tr w:rsidR="001A454B" w:rsidRPr="00DF78A1" w:rsidTr="001A454B">
        <w:tc>
          <w:tcPr>
            <w:tcW w:w="565" w:type="dxa"/>
            <w:shd w:val="clear" w:color="auto" w:fill="auto"/>
            <w:vAlign w:val="center"/>
          </w:tcPr>
          <w:p w:rsidR="001A454B" w:rsidRPr="00DF78A1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F78A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Nr.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A454B" w:rsidRPr="00DF78A1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F78A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B431E2" w:rsidRPr="00DF78A1" w:rsidRDefault="001A454B" w:rsidP="00B431E2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DF78A1">
              <w:rPr>
                <w:b/>
                <w:bCs/>
                <w:lang w:val="ro-MD"/>
              </w:rPr>
              <w:t>Specificații</w:t>
            </w:r>
          </w:p>
          <w:p w:rsidR="001A454B" w:rsidRPr="00DF78A1" w:rsidRDefault="001A454B" w:rsidP="00B431E2">
            <w:pPr>
              <w:pStyle w:val="Default"/>
              <w:jc w:val="center"/>
              <w:rPr>
                <w:lang w:val="ro-MD"/>
              </w:rPr>
            </w:pPr>
            <w:r w:rsidRPr="00DF78A1">
              <w:rPr>
                <w:b/>
                <w:bCs/>
                <w:lang w:val="ro-MD"/>
              </w:rPr>
              <w:t>(minime obligatorii) solicitate</w:t>
            </w:r>
          </w:p>
        </w:tc>
        <w:tc>
          <w:tcPr>
            <w:tcW w:w="3165" w:type="dxa"/>
            <w:vAlign w:val="center"/>
          </w:tcPr>
          <w:p w:rsidR="001A454B" w:rsidRPr="00DF78A1" w:rsidRDefault="001A454B" w:rsidP="00F866FC">
            <w:pPr>
              <w:pStyle w:val="Default"/>
              <w:jc w:val="both"/>
              <w:rPr>
                <w:b/>
                <w:bCs/>
                <w:lang w:val="ro-MD"/>
              </w:rPr>
            </w:pPr>
            <w:r w:rsidRPr="00DF78A1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DF78A1" w:rsidRPr="00DF78A1" w:rsidTr="00BE4B8C">
        <w:tc>
          <w:tcPr>
            <w:tcW w:w="565" w:type="dxa"/>
            <w:vMerge w:val="restart"/>
            <w:shd w:val="clear" w:color="auto" w:fill="auto"/>
            <w:vAlign w:val="center"/>
          </w:tcPr>
          <w:p w:rsidR="00DF78A1" w:rsidRPr="00737F2C" w:rsidRDefault="00DF78A1" w:rsidP="00737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37F2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DF78A1" w:rsidRPr="00737F2C" w:rsidRDefault="00DF78A1" w:rsidP="00737F2C">
            <w:pPr>
              <w:pStyle w:val="Default"/>
              <w:rPr>
                <w:b/>
                <w:lang w:val="ro-MD"/>
              </w:rPr>
            </w:pPr>
            <w:r w:rsidRPr="00737F2C">
              <w:rPr>
                <w:b/>
                <w:lang w:val="ro-MD"/>
              </w:rPr>
              <w:t>Telefon/</w:t>
            </w:r>
            <w:proofErr w:type="spellStart"/>
            <w:r w:rsidRPr="00737F2C">
              <w:rPr>
                <w:b/>
                <w:lang w:val="ro-MD"/>
              </w:rPr>
              <w:t>Smartphon</w:t>
            </w:r>
            <w:proofErr w:type="spellEnd"/>
            <w:r w:rsidRPr="00737F2C">
              <w:rPr>
                <w:b/>
                <w:lang w:val="ro-MD"/>
              </w:rPr>
              <w:t xml:space="preserve"> cu cititor NFC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78A1" w:rsidRPr="00DF78A1" w:rsidRDefault="00DF78A1" w:rsidP="00BE4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8A1">
              <w:rPr>
                <w:rFonts w:ascii="Times New Roman" w:hAnsi="Times New Roman"/>
                <w:sz w:val="24"/>
                <w:szCs w:val="24"/>
              </w:rPr>
              <w:t>CPU, GPU</w:t>
            </w:r>
          </w:p>
        </w:tc>
        <w:tc>
          <w:tcPr>
            <w:tcW w:w="2363" w:type="dxa"/>
            <w:vAlign w:val="center"/>
          </w:tcPr>
          <w:p w:rsidR="00DF78A1" w:rsidRPr="00DF78A1" w:rsidRDefault="00DF78A1" w:rsidP="00DF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OctaCore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: 4×1,8 ГГц</w:t>
            </w:r>
          </w:p>
        </w:tc>
        <w:tc>
          <w:tcPr>
            <w:tcW w:w="3165" w:type="dxa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DF78A1" w:rsidRPr="00DF78A1" w:rsidTr="00737F2C">
        <w:tc>
          <w:tcPr>
            <w:tcW w:w="565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8A1">
              <w:rPr>
                <w:rFonts w:ascii="Times New Roman" w:hAnsi="Times New Roman"/>
                <w:sz w:val="24"/>
                <w:szCs w:val="24"/>
              </w:rPr>
              <w:t>RAM</w:t>
            </w:r>
          </w:p>
        </w:tc>
        <w:tc>
          <w:tcPr>
            <w:tcW w:w="2363" w:type="dxa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8GB RAM</w:t>
            </w:r>
          </w:p>
        </w:tc>
        <w:tc>
          <w:tcPr>
            <w:tcW w:w="3165" w:type="dxa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DF78A1" w:rsidRPr="00DF78A1" w:rsidTr="00737F2C">
        <w:tc>
          <w:tcPr>
            <w:tcW w:w="565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DF78A1" w:rsidRPr="00DF78A1" w:rsidRDefault="00DF78A1" w:rsidP="0073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8A1">
              <w:rPr>
                <w:rFonts w:ascii="Times New Roman" w:hAnsi="Times New Roman"/>
                <w:sz w:val="24"/>
                <w:szCs w:val="24"/>
              </w:rPr>
              <w:t>ROM</w:t>
            </w:r>
          </w:p>
        </w:tc>
        <w:tc>
          <w:tcPr>
            <w:tcW w:w="2363" w:type="dxa"/>
            <w:vAlign w:val="center"/>
          </w:tcPr>
          <w:p w:rsidR="00DF78A1" w:rsidRPr="00DF78A1" w:rsidRDefault="00DF78A1" w:rsidP="00737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128 GB</w:t>
            </w:r>
          </w:p>
        </w:tc>
        <w:tc>
          <w:tcPr>
            <w:tcW w:w="3165" w:type="dxa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DF78A1" w:rsidRPr="00DF78A1" w:rsidTr="00737F2C">
        <w:tc>
          <w:tcPr>
            <w:tcW w:w="565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8A1">
              <w:rPr>
                <w:rFonts w:ascii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2363" w:type="dxa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165" w:type="dxa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o-MD"/>
              </w:rPr>
            </w:pPr>
          </w:p>
        </w:tc>
      </w:tr>
      <w:tr w:rsidR="00DF78A1" w:rsidRPr="00DF78A1" w:rsidTr="00737F2C">
        <w:tc>
          <w:tcPr>
            <w:tcW w:w="565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DF78A1" w:rsidRPr="00DF78A1" w:rsidRDefault="00DF78A1" w:rsidP="00737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2363" w:type="dxa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802.11 </w:t>
            </w: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5.0, NFC; GPS</w:t>
            </w:r>
          </w:p>
        </w:tc>
        <w:tc>
          <w:tcPr>
            <w:tcW w:w="3165" w:type="dxa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DF78A1" w:rsidRPr="00DF78A1" w:rsidTr="00737F2C">
        <w:tc>
          <w:tcPr>
            <w:tcW w:w="565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363" w:type="dxa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Li-Ion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5000 </w:t>
            </w: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3165" w:type="dxa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DF78A1" w:rsidRPr="00DF78A1" w:rsidTr="00737F2C">
        <w:tc>
          <w:tcPr>
            <w:tcW w:w="565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DF78A1" w:rsidRPr="00DF78A1" w:rsidRDefault="00DF78A1" w:rsidP="00737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Garanția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:rsidR="00DF78A1" w:rsidRPr="00DF78A1" w:rsidRDefault="00DF78A1" w:rsidP="00737F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DF7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5" w:type="dxa"/>
          </w:tcPr>
          <w:p w:rsidR="00DF78A1" w:rsidRPr="00DF78A1" w:rsidRDefault="00DF78A1" w:rsidP="00DF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</w:tr>
    </w:tbl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</w:p>
    <w:p w:rsidR="00166D3B" w:rsidRDefault="00166D3B" w:rsidP="00166D3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6D3B">
        <w:rPr>
          <w:rFonts w:ascii="Times New Roman" w:hAnsi="Times New Roman"/>
          <w:b/>
          <w:sz w:val="24"/>
          <w:szCs w:val="24"/>
          <w:lang w:val="ro-MD"/>
        </w:rPr>
        <w:t>NOTĂ</w:t>
      </w:r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Contractul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fi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încheiat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doar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după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testarea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verificarea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bunurilor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special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dacă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sunt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citite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cititorului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NFC.</w:t>
      </w:r>
    </w:p>
    <w:p w:rsidR="00BE4B8C" w:rsidRPr="00166D3B" w:rsidRDefault="00BE4B8C" w:rsidP="00166D3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7695F" w:rsidRPr="00DA2293" w:rsidRDefault="0017695F" w:rsidP="0017695F">
      <w:pPr>
        <w:pStyle w:val="ChapterNumber"/>
        <w:spacing w:after="0"/>
        <w:rPr>
          <w:b/>
          <w:bCs/>
          <w:szCs w:val="24"/>
          <w:u w:val="single"/>
          <w:lang w:val="ro-MD"/>
        </w:rPr>
      </w:pPr>
      <w:r w:rsidRPr="00DA2293">
        <w:rPr>
          <w:b/>
          <w:bCs/>
          <w:szCs w:val="24"/>
          <w:u w:val="single"/>
          <w:lang w:val="ro-MD"/>
        </w:rPr>
        <w:t xml:space="preserve">III. </w:t>
      </w:r>
      <w:r w:rsidRPr="00DA2293">
        <w:rPr>
          <w:b/>
          <w:szCs w:val="24"/>
          <w:u w:val="single"/>
          <w:lang w:val="ro-MD"/>
        </w:rPr>
        <w:t>Date despre companie</w:t>
      </w:r>
      <w:r w:rsidRPr="00DA2293">
        <w:rPr>
          <w:b/>
          <w:bCs/>
          <w:szCs w:val="24"/>
          <w:lang w:val="ro-MD"/>
        </w:rPr>
        <w:tab/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Denumirea Companiei: 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Cod fiscal:  _________________________________________________________________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ab/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Date de contact (adresă; telefon; fax; e-mail): 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___________________________________________________________________________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Rechizitele bancare: __________________________________________________________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Data ofertei:    __________________________________    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 </w:t>
      </w:r>
    </w:p>
    <w:p w:rsidR="0017695F" w:rsidRPr="00DA2293" w:rsidRDefault="0017695F" w:rsidP="0017695F">
      <w:pPr>
        <w:rPr>
          <w:sz w:val="24"/>
          <w:szCs w:val="24"/>
          <w:lang w:val="ro-MD"/>
        </w:rPr>
      </w:pPr>
      <w:r w:rsidRPr="00DA2293">
        <w:rPr>
          <w:sz w:val="24"/>
          <w:szCs w:val="24"/>
          <w:lang w:val="ro-MD"/>
        </w:rPr>
        <w:t xml:space="preserve">                                        ___________________________            ______________________</w:t>
      </w:r>
    </w:p>
    <w:p w:rsidR="0017695F" w:rsidRPr="00DA2293" w:rsidRDefault="0017695F" w:rsidP="0017695F">
      <w:pPr>
        <w:pStyle w:val="ChapterNumber"/>
        <w:spacing w:after="0"/>
        <w:rPr>
          <w:b/>
          <w:bCs/>
          <w:szCs w:val="24"/>
          <w:lang w:val="ro-MD"/>
        </w:rPr>
      </w:pPr>
      <w:r w:rsidRPr="00DA2293">
        <w:rPr>
          <w:b/>
          <w:bCs/>
          <w:szCs w:val="24"/>
          <w:lang w:val="ro-MD"/>
        </w:rPr>
        <w:tab/>
      </w:r>
      <w:r w:rsidRPr="00DA2293">
        <w:rPr>
          <w:b/>
          <w:bCs/>
          <w:szCs w:val="24"/>
          <w:lang w:val="ro-MD"/>
        </w:rPr>
        <w:tab/>
        <w:t xml:space="preserve">                               L.Ş.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pStyle w:val="ChapterNumber"/>
        <w:spacing w:after="0"/>
        <w:rPr>
          <w:bCs/>
          <w:szCs w:val="24"/>
          <w:lang w:val="ro-MD"/>
        </w:rPr>
      </w:pPr>
    </w:p>
    <w:p w:rsidR="00D64D05" w:rsidRPr="00DA2293" w:rsidRDefault="00D64D05">
      <w:pPr>
        <w:rPr>
          <w:lang w:val="ro-MD"/>
        </w:rPr>
      </w:pPr>
    </w:p>
    <w:sectPr w:rsidR="00D64D05" w:rsidRPr="00DA2293" w:rsidSect="0017695F">
      <w:pgSz w:w="12240" w:h="15840"/>
      <w:pgMar w:top="567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F570B"/>
    <w:multiLevelType w:val="hybridMultilevel"/>
    <w:tmpl w:val="EF10F6E8"/>
    <w:lvl w:ilvl="0" w:tplc="8B444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6"/>
    <w:rsid w:val="00166D3B"/>
    <w:rsid w:val="0017695F"/>
    <w:rsid w:val="001A454B"/>
    <w:rsid w:val="004A0F1D"/>
    <w:rsid w:val="004C269E"/>
    <w:rsid w:val="005477C7"/>
    <w:rsid w:val="00737F2C"/>
    <w:rsid w:val="007822E7"/>
    <w:rsid w:val="00926328"/>
    <w:rsid w:val="00A64AB6"/>
    <w:rsid w:val="00B140FF"/>
    <w:rsid w:val="00B431E2"/>
    <w:rsid w:val="00BE4B8C"/>
    <w:rsid w:val="00C95116"/>
    <w:rsid w:val="00D64D05"/>
    <w:rsid w:val="00DA2293"/>
    <w:rsid w:val="00DF78A1"/>
    <w:rsid w:val="00E2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24E4"/>
  <w15:chartTrackingRefBased/>
  <w15:docId w15:val="{6AA8081B-B852-40E6-8C95-4143D30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17695F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4C2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2020-12-10T11:11:00Z</dcterms:created>
  <dcterms:modified xsi:type="dcterms:W3CDTF">2023-11-17T06:36:00Z</dcterms:modified>
</cp:coreProperties>
</file>